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F613" w14:textId="366EE040" w:rsidR="00EF78B1" w:rsidRPr="00EF78B1" w:rsidRDefault="00EF78B1" w:rsidP="00EF78B1">
      <w:pPr>
        <w:tabs>
          <w:tab w:val="right" w:pos="20000"/>
        </w:tabs>
        <w:spacing w:after="0"/>
        <w:rPr>
          <w:rFonts w:ascii="Arial" w:eastAsia="MS Mincho" w:hAnsi="Arial" w:cs="Arial"/>
          <w:b/>
          <w:noProof/>
          <w:sz w:val="24"/>
          <w:szCs w:val="24"/>
        </w:rPr>
      </w:pPr>
      <w:bookmarkStart w:id="0" w:name="OLE_LINK15"/>
      <w:bookmarkStart w:id="1" w:name="_Hlk84666062"/>
      <w:r w:rsidRPr="00EF78B1">
        <w:rPr>
          <w:rFonts w:ascii="Arial" w:eastAsia="MS Mincho" w:hAnsi="Arial"/>
          <w:b/>
          <w:noProof/>
          <w:sz w:val="24"/>
        </w:rPr>
        <w:t>3GPP TSG-</w:t>
      </w:r>
      <w:r w:rsidRPr="00EF78B1">
        <w:rPr>
          <w:rFonts w:ascii="Arial" w:eastAsia="MS Mincho" w:hAnsi="Arial"/>
          <w:b/>
          <w:noProof/>
          <w:sz w:val="24"/>
          <w:lang w:eastAsia="zh-CN"/>
        </w:rPr>
        <w:t>RAN WG4</w:t>
      </w:r>
      <w:r w:rsidRPr="00EF78B1">
        <w:rPr>
          <w:rFonts w:ascii="Arial" w:eastAsia="MS Mincho" w:hAnsi="Arial"/>
          <w:b/>
          <w:noProof/>
          <w:sz w:val="24"/>
        </w:rPr>
        <w:t xml:space="preserve"> Meetin</w:t>
      </w:r>
      <w:r w:rsidRPr="00EF78B1">
        <w:rPr>
          <w:rFonts w:ascii="Arial" w:eastAsia="MS Mincho" w:hAnsi="Arial"/>
          <w:b/>
          <w:noProof/>
          <w:sz w:val="24"/>
          <w:lang w:eastAsia="zh-CN"/>
        </w:rPr>
        <w:t>g #106-bis-e</w:t>
      </w:r>
      <w:r w:rsidRPr="00EF78B1">
        <w:rPr>
          <w:rFonts w:ascii="Arial" w:eastAsia="MS Mincho" w:hAnsi="Arial" w:cs="Arial"/>
          <w:b/>
          <w:noProof/>
          <w:sz w:val="24"/>
          <w:szCs w:val="24"/>
        </w:rPr>
        <w:tab/>
      </w:r>
      <w:r w:rsidR="003E4B32" w:rsidRPr="003E4B32">
        <w:rPr>
          <w:rFonts w:ascii="Arial" w:eastAsia="MS Mincho" w:hAnsi="Arial" w:cs="Arial"/>
          <w:b/>
          <w:noProof/>
          <w:sz w:val="24"/>
          <w:szCs w:val="24"/>
        </w:rPr>
        <w:t>R4-2305486</w:t>
      </w:r>
    </w:p>
    <w:bookmarkEnd w:id="0"/>
    <w:p w14:paraId="2521F984" w14:textId="77777777" w:rsidR="00EF78B1" w:rsidRPr="00EF78B1" w:rsidRDefault="00EF78B1" w:rsidP="00EF78B1">
      <w:pPr>
        <w:spacing w:after="120"/>
        <w:outlineLvl w:val="0"/>
        <w:rPr>
          <w:rFonts w:ascii="Arial" w:eastAsia="MS Mincho" w:hAnsi="Arial"/>
          <w:b/>
          <w:noProof/>
          <w:sz w:val="24"/>
        </w:rPr>
      </w:pPr>
      <w:r w:rsidRPr="00EF78B1">
        <w:rPr>
          <w:rFonts w:ascii="Arial" w:eastAsia="MS Mincho" w:hAnsi="Arial"/>
          <w:b/>
          <w:noProof/>
          <w:sz w:val="24"/>
        </w:rPr>
        <w:t>Online, 17</w:t>
      </w:r>
      <w:r w:rsidRPr="00EF78B1">
        <w:rPr>
          <w:rFonts w:ascii="Arial" w:eastAsia="MS Mincho" w:hAnsi="Arial"/>
          <w:b/>
          <w:noProof/>
          <w:sz w:val="24"/>
          <w:vertAlign w:val="superscript"/>
        </w:rPr>
        <w:t>th</w:t>
      </w:r>
      <w:r w:rsidRPr="00EF78B1">
        <w:rPr>
          <w:rFonts w:ascii="Arial" w:eastAsia="MS Mincho" w:hAnsi="Arial"/>
          <w:b/>
          <w:noProof/>
          <w:sz w:val="24"/>
        </w:rPr>
        <w:t xml:space="preserve"> - 26</w:t>
      </w:r>
      <w:r w:rsidRPr="00EF78B1">
        <w:rPr>
          <w:rFonts w:ascii="Arial" w:eastAsia="MS Mincho" w:hAnsi="Arial"/>
          <w:b/>
          <w:noProof/>
          <w:sz w:val="24"/>
          <w:vertAlign w:val="superscript"/>
        </w:rPr>
        <w:t>th</w:t>
      </w:r>
      <w:r w:rsidRPr="00EF78B1">
        <w:rPr>
          <w:rFonts w:ascii="Arial" w:eastAsia="MS Mincho" w:hAnsi="Arial"/>
          <w:b/>
          <w:noProof/>
          <w:sz w:val="24"/>
        </w:rPr>
        <w:t xml:space="preserve"> Apr, 2023</w:t>
      </w:r>
    </w:p>
    <w:bookmarkEnd w:id="1"/>
    <w:p w14:paraId="0985FDF3" w14:textId="66F02A67" w:rsidR="00D46BD4" w:rsidRPr="006B573C" w:rsidRDefault="00D46BD4" w:rsidP="00D46BD4">
      <w:pPr>
        <w:pStyle w:val="ab"/>
        <w:jc w:val="both"/>
        <w:rPr>
          <w:rFonts w:eastAsia="宋体"/>
          <w:i w:val="0"/>
          <w:noProof w:val="0"/>
          <w:sz w:val="24"/>
        </w:rPr>
      </w:pPr>
    </w:p>
    <w:p w14:paraId="746C058D" w14:textId="54FF7EAC"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EC1986">
        <w:rPr>
          <w:rFonts w:ascii="Arial" w:hAnsi="Arial"/>
          <w:sz w:val="24"/>
          <w:lang w:val="en-US" w:eastAsia="zh-CN"/>
        </w:rPr>
        <w:t>UE</w:t>
      </w:r>
      <w:r w:rsidR="00046805" w:rsidRPr="00046805">
        <w:rPr>
          <w:rFonts w:ascii="Arial" w:hAnsi="Arial"/>
          <w:sz w:val="24"/>
          <w:lang w:val="en-US" w:eastAsia="zh-CN"/>
        </w:rPr>
        <w:t xml:space="preserve"> demodulation requirements for HST FR2</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24F6B086"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3D1300" w:rsidRPr="003D1300">
        <w:rPr>
          <w:rFonts w:ascii="Arial" w:hAnsi="Arial"/>
          <w:sz w:val="24"/>
          <w:lang w:val="pt-BR"/>
        </w:rPr>
        <w:t>5.13.5.2</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52169350" w14:textId="25CE90BA" w:rsidR="00DF0FD5" w:rsidRDefault="00DA5EE2" w:rsidP="00DA5EE2">
      <w:pPr>
        <w:rPr>
          <w:lang w:eastAsia="zh-CN"/>
        </w:rPr>
      </w:pPr>
      <w:bookmarkStart w:id="2" w:name="_Hlk132059126"/>
      <w:r>
        <w:rPr>
          <w:lang w:eastAsia="zh-CN"/>
        </w:rPr>
        <w:t>During RAN#</w:t>
      </w:r>
      <w:r w:rsidR="00DF0FD5">
        <w:rPr>
          <w:lang w:eastAsia="zh-CN"/>
        </w:rPr>
        <w:t>9</w:t>
      </w:r>
      <w:r w:rsidR="00046805">
        <w:rPr>
          <w:lang w:eastAsia="zh-CN"/>
        </w:rPr>
        <w:t>7</w:t>
      </w:r>
      <w:r>
        <w:rPr>
          <w:lang w:eastAsia="zh-CN"/>
        </w:rPr>
        <w:t xml:space="preserve"> meeting, </w:t>
      </w:r>
      <w:r w:rsidR="00DF0FD5" w:rsidRPr="00DF0FD5">
        <w:rPr>
          <w:lang w:eastAsia="zh-CN"/>
        </w:rPr>
        <w:t xml:space="preserve">Revised </w:t>
      </w:r>
      <w:r w:rsidR="00661D17">
        <w:rPr>
          <w:lang w:eastAsia="zh-CN"/>
        </w:rPr>
        <w:t>W</w:t>
      </w:r>
      <w:r w:rsidR="00DF0FD5">
        <w:rPr>
          <w:lang w:eastAsia="zh-CN"/>
        </w:rPr>
        <w:t>ID</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046805" w:rsidRPr="00046805">
        <w:rPr>
          <w:lang w:eastAsia="zh-CN"/>
        </w:rPr>
        <w:t>on enhanced NR support for high speed train scenario in frequency range 2 (FR2)</w:t>
      </w:r>
      <w:r w:rsidRPr="004B565E">
        <w:rPr>
          <w:lang w:eastAsia="zh-CN"/>
        </w:rPr>
        <w:t xml:space="preserve"> was approved</w:t>
      </w:r>
      <w:r w:rsidR="00046805">
        <w:rPr>
          <w:lang w:eastAsia="zh-CN"/>
        </w:rPr>
        <w:t xml:space="preserve"> and there are demodulation requirements to be defined</w:t>
      </w:r>
      <w:r w:rsidR="00DF0FD5">
        <w:rPr>
          <w:lang w:val="en-US" w:eastAsia="zh-CN"/>
        </w:rPr>
        <w:t>.</w:t>
      </w:r>
    </w:p>
    <w:tbl>
      <w:tblPr>
        <w:tblStyle w:val="ae"/>
        <w:tblW w:w="0" w:type="auto"/>
        <w:tblLook w:val="04A0" w:firstRow="1" w:lastRow="0" w:firstColumn="1" w:lastColumn="0" w:noHBand="0" w:noVBand="1"/>
      </w:tblPr>
      <w:tblGrid>
        <w:gridCol w:w="10456"/>
      </w:tblGrid>
      <w:tr w:rsidR="00DF0FD5" w:rsidRPr="00046805" w14:paraId="73D7D901" w14:textId="77777777" w:rsidTr="00DF0FD5">
        <w:tc>
          <w:tcPr>
            <w:tcW w:w="10456" w:type="dxa"/>
          </w:tcPr>
          <w:p w14:paraId="06955EED" w14:textId="77777777" w:rsidR="00046805" w:rsidRPr="00046805" w:rsidRDefault="00046805" w:rsidP="00046805">
            <w:pPr>
              <w:numPr>
                <w:ilvl w:val="0"/>
                <w:numId w:val="16"/>
              </w:numPr>
              <w:overflowPunct w:val="0"/>
              <w:autoSpaceDE w:val="0"/>
              <w:autoSpaceDN w:val="0"/>
              <w:adjustRightInd w:val="0"/>
              <w:textAlignment w:val="baseline"/>
              <w:rPr>
                <w:rFonts w:eastAsia="Malgun Gothic"/>
                <w:i/>
              </w:rPr>
            </w:pPr>
            <w:r w:rsidRPr="00046805">
              <w:rPr>
                <w:rFonts w:eastAsia="Malgun Gothic"/>
                <w:i/>
              </w:rPr>
              <w:t>Specify the necessary RRM test cases</w:t>
            </w:r>
            <w:r w:rsidRPr="00046805">
              <w:rPr>
                <w:rFonts w:eastAsia="Malgun Gothic"/>
                <w:i/>
                <w:lang w:val="en-US"/>
              </w:rPr>
              <w:t xml:space="preserve"> based on the outcome on corresponding core part.</w:t>
            </w:r>
            <w:r w:rsidRPr="00046805">
              <w:rPr>
                <w:rFonts w:eastAsia="Malgun Gothic"/>
                <w:i/>
              </w:rPr>
              <w:t xml:space="preserve"> </w:t>
            </w:r>
          </w:p>
          <w:p w14:paraId="2B67509D" w14:textId="77777777" w:rsidR="00046805" w:rsidRPr="00046805" w:rsidRDefault="00046805" w:rsidP="00046805">
            <w:pPr>
              <w:numPr>
                <w:ilvl w:val="0"/>
                <w:numId w:val="16"/>
              </w:numPr>
              <w:overflowPunct w:val="0"/>
              <w:autoSpaceDE w:val="0"/>
              <w:autoSpaceDN w:val="0"/>
              <w:adjustRightInd w:val="0"/>
              <w:textAlignment w:val="baseline"/>
              <w:rPr>
                <w:rFonts w:eastAsia="Malgun Gothic"/>
                <w:i/>
                <w:highlight w:val="yellow"/>
              </w:rPr>
            </w:pPr>
            <w:r w:rsidRPr="00046805">
              <w:rPr>
                <w:rFonts w:eastAsia="Malgun Gothic"/>
                <w:i/>
                <w:highlight w:val="yellow"/>
              </w:rPr>
              <w:t>Investigate and if needed specify the demodulation performance requirements for intra-band carrier aggregation (CA) HST scenario.</w:t>
            </w:r>
          </w:p>
          <w:p w14:paraId="358C5873" w14:textId="77777777" w:rsidR="00046805" w:rsidRPr="00046805" w:rsidRDefault="00046805" w:rsidP="00046805">
            <w:pPr>
              <w:numPr>
                <w:ilvl w:val="0"/>
                <w:numId w:val="16"/>
              </w:numPr>
              <w:overflowPunct w:val="0"/>
              <w:autoSpaceDE w:val="0"/>
              <w:autoSpaceDN w:val="0"/>
              <w:adjustRightInd w:val="0"/>
              <w:textAlignment w:val="baseline"/>
              <w:rPr>
                <w:rFonts w:eastAsia="Malgun Gothic"/>
                <w:i/>
                <w:highlight w:val="yellow"/>
              </w:rPr>
            </w:pPr>
            <w:r w:rsidRPr="00046805">
              <w:rPr>
                <w:rFonts w:eastAsia="Malgun Gothic"/>
                <w:i/>
                <w:highlight w:val="yellow"/>
              </w:rPr>
              <w:t xml:space="preserve">Specify the necessary demodulation performance requirements for simultaneous multi-panel reception. </w:t>
            </w:r>
          </w:p>
          <w:p w14:paraId="6429FD35" w14:textId="77777777" w:rsidR="00046805" w:rsidRPr="00046805" w:rsidRDefault="00046805" w:rsidP="00046805">
            <w:pPr>
              <w:numPr>
                <w:ilvl w:val="1"/>
                <w:numId w:val="16"/>
              </w:numPr>
              <w:overflowPunct w:val="0"/>
              <w:autoSpaceDE w:val="0"/>
              <w:autoSpaceDN w:val="0"/>
              <w:adjustRightInd w:val="0"/>
              <w:textAlignment w:val="baseline"/>
              <w:rPr>
                <w:rFonts w:eastAsia="Malgun Gothic"/>
                <w:i/>
                <w:highlight w:val="yellow"/>
              </w:rPr>
            </w:pPr>
            <w:r w:rsidRPr="00046805">
              <w:rPr>
                <w:rFonts w:eastAsia="Malgun Gothic"/>
                <w:i/>
                <w:highlight w:val="yellow"/>
              </w:rPr>
              <w:t>NOTE: Focus on FR2 HST specific requirements, and avoid the overlap with the scope of FR2 multi-Rx DL reception</w:t>
            </w:r>
          </w:p>
          <w:p w14:paraId="0D14D90F" w14:textId="63C3B92B" w:rsidR="00DF0FD5" w:rsidRPr="00046805" w:rsidRDefault="00046805" w:rsidP="00046805">
            <w:pPr>
              <w:numPr>
                <w:ilvl w:val="0"/>
                <w:numId w:val="16"/>
              </w:numPr>
              <w:overflowPunct w:val="0"/>
              <w:autoSpaceDE w:val="0"/>
              <w:autoSpaceDN w:val="0"/>
              <w:adjustRightInd w:val="0"/>
              <w:textAlignment w:val="baseline"/>
              <w:rPr>
                <w:rFonts w:eastAsia="Malgun Gothic"/>
                <w:i/>
              </w:rPr>
            </w:pPr>
            <w:r w:rsidRPr="00046805">
              <w:rPr>
                <w:rFonts w:eastAsia="Malgun Gothic"/>
                <w:i/>
              </w:rPr>
              <w:t xml:space="preserve">Specify the other necessary RRM and demodulation performance requirements depending on the outcome of core part. </w:t>
            </w:r>
          </w:p>
        </w:tc>
      </w:tr>
    </w:tbl>
    <w:p w14:paraId="6EAC936A" w14:textId="77777777" w:rsidR="00DF0FD5" w:rsidRDefault="00DF0FD5" w:rsidP="00DA5EE2">
      <w:pPr>
        <w:rPr>
          <w:lang w:eastAsia="zh-CN"/>
        </w:rPr>
      </w:pPr>
    </w:p>
    <w:p w14:paraId="760A1E0C" w14:textId="7ACEA599" w:rsidR="00DA5EE2" w:rsidRPr="004B565E" w:rsidRDefault="00DA5EE2" w:rsidP="00DA5EE2">
      <w:pPr>
        <w:rPr>
          <w:lang w:val="en-US" w:eastAsia="zh-CN"/>
        </w:rPr>
      </w:pPr>
      <w:r w:rsidRPr="004B565E">
        <w:rPr>
          <w:lang w:val="en-US" w:eastAsia="zh-CN"/>
        </w:rPr>
        <w:t xml:space="preserve">In this contribution, we share our views about </w:t>
      </w:r>
      <w:r w:rsidR="00EC1986" w:rsidRPr="00EC1986">
        <w:rPr>
          <w:lang w:val="en-US" w:eastAsia="zh-CN"/>
        </w:rPr>
        <w:t>UE demodulation requirements for HST FR2</w:t>
      </w:r>
      <w:r w:rsidRPr="004B565E">
        <w:rPr>
          <w:lang w:val="en-US" w:eastAsia="zh-CN"/>
        </w:rPr>
        <w:t>.</w:t>
      </w:r>
    </w:p>
    <w:bookmarkEnd w:id="2"/>
    <w:p w14:paraId="4B381C34" w14:textId="366BBF0A" w:rsidR="00EA7C2F" w:rsidRDefault="00EA7C2F" w:rsidP="00D46BD4">
      <w:pPr>
        <w:pStyle w:val="1"/>
        <w:rPr>
          <w:lang w:val="en-US" w:eastAsia="zh-CN"/>
        </w:rPr>
      </w:pPr>
      <w:r>
        <w:rPr>
          <w:rFonts w:hint="eastAsia"/>
          <w:lang w:val="en-US" w:eastAsia="zh-CN"/>
        </w:rPr>
        <w:t>D</w:t>
      </w:r>
      <w:r>
        <w:rPr>
          <w:lang w:val="en-US" w:eastAsia="zh-CN"/>
        </w:rPr>
        <w:t>iscussion</w:t>
      </w:r>
    </w:p>
    <w:p w14:paraId="5E8CAC5C" w14:textId="1C5B0790" w:rsidR="00A40923" w:rsidRPr="00A40923" w:rsidRDefault="00A40923" w:rsidP="00A40923">
      <w:pPr>
        <w:pStyle w:val="2"/>
        <w:rPr>
          <w:lang w:val="en-US" w:eastAsia="zh-CN"/>
        </w:rPr>
      </w:pPr>
      <w:r>
        <w:rPr>
          <w:lang w:val="en-US" w:eastAsia="zh-CN"/>
        </w:rPr>
        <w:t>I</w:t>
      </w:r>
      <w:r w:rsidRPr="00A40923">
        <w:rPr>
          <w:lang w:val="en-US" w:eastAsia="zh-CN"/>
        </w:rPr>
        <w:t>ntra-band</w:t>
      </w:r>
      <w:r w:rsidRPr="00A40923">
        <w:rPr>
          <w:rFonts w:hint="eastAsia"/>
          <w:lang w:val="en-US" w:eastAsia="zh-CN"/>
        </w:rPr>
        <w:t xml:space="preserve"> </w:t>
      </w:r>
      <w:r>
        <w:rPr>
          <w:rFonts w:hint="eastAsia"/>
          <w:lang w:val="en-US" w:eastAsia="zh-CN"/>
        </w:rPr>
        <w:t>C</w:t>
      </w:r>
      <w:r>
        <w:rPr>
          <w:lang w:val="en-US" w:eastAsia="zh-CN"/>
        </w:rPr>
        <w:t>A</w:t>
      </w:r>
    </w:p>
    <w:p w14:paraId="412FCF40" w14:textId="7D9B623B" w:rsidR="00C0532A" w:rsidRPr="00B732BD" w:rsidRDefault="00C0532A" w:rsidP="00EC1986">
      <w:pPr>
        <w:rPr>
          <w:b/>
          <w:u w:val="single"/>
          <w:lang w:val="en-US" w:eastAsia="zh-CN"/>
        </w:rPr>
      </w:pPr>
      <w:r w:rsidRPr="00B732BD">
        <w:rPr>
          <w:b/>
          <w:u w:val="single"/>
          <w:lang w:val="en-US" w:eastAsia="zh-CN"/>
        </w:rPr>
        <w:t>CA configurations</w:t>
      </w:r>
    </w:p>
    <w:p w14:paraId="4D146D70" w14:textId="5562CC18" w:rsidR="00C0532A" w:rsidRDefault="00C0532A" w:rsidP="00EC1986">
      <w:pPr>
        <w:rPr>
          <w:lang w:val="en-US" w:eastAsia="zh-CN"/>
        </w:rPr>
      </w:pPr>
      <w:r>
        <w:rPr>
          <w:rFonts w:hint="eastAsia"/>
          <w:lang w:val="en-US" w:eastAsia="zh-CN"/>
        </w:rPr>
        <w:t>A</w:t>
      </w:r>
      <w:r>
        <w:rPr>
          <w:lang w:val="en-US" w:eastAsia="zh-CN"/>
        </w:rPr>
        <w:t xml:space="preserve">s per current TS 38.101-4, only </w:t>
      </w:r>
      <w:r w:rsidRPr="00C0532A">
        <w:rPr>
          <w:lang w:val="en-US" w:eastAsia="zh-CN"/>
        </w:rPr>
        <w:t>TDD 120 kHz + TDD 120 kHz</w:t>
      </w:r>
      <w:r>
        <w:rPr>
          <w:lang w:val="en-US" w:eastAsia="zh-CN"/>
        </w:rPr>
        <w:t xml:space="preserve"> case is defined for legacy FR2 CA. Also only 120kHz SCS is considered in Rel-17 HST FR2 single carrier demodulation requirements. </w:t>
      </w:r>
      <w:r>
        <w:rPr>
          <w:rFonts w:hint="eastAsia"/>
          <w:lang w:val="en-US" w:eastAsia="zh-CN"/>
        </w:rPr>
        <w:t>It</w:t>
      </w:r>
      <w:r>
        <w:rPr>
          <w:lang w:val="en-US" w:eastAsia="zh-CN"/>
        </w:rPr>
        <w:t xml:space="preserve"> is obviously that</w:t>
      </w:r>
      <w:r w:rsidRPr="00C0532A">
        <w:rPr>
          <w:lang w:val="en-US" w:eastAsia="zh-CN"/>
        </w:rPr>
        <w:t xml:space="preserve"> </w:t>
      </w:r>
      <w:r>
        <w:rPr>
          <w:lang w:val="en-US" w:eastAsia="zh-CN"/>
        </w:rPr>
        <w:t>60</w:t>
      </w:r>
      <w:r w:rsidRPr="00C0532A">
        <w:rPr>
          <w:lang w:val="en-US" w:eastAsia="zh-CN"/>
        </w:rPr>
        <w:t xml:space="preserve">kHz is </w:t>
      </w:r>
      <w:r w:rsidR="00B732BD">
        <w:rPr>
          <w:lang w:val="en-US" w:eastAsia="zh-CN"/>
        </w:rPr>
        <w:t xml:space="preserve">not </w:t>
      </w:r>
      <w:r w:rsidRPr="00C0532A">
        <w:rPr>
          <w:lang w:val="en-US" w:eastAsia="zh-CN"/>
        </w:rPr>
        <w:t>typical scenario.</w:t>
      </w:r>
      <w:r w:rsidRPr="00C0532A">
        <w:t xml:space="preserve"> </w:t>
      </w:r>
      <w:r w:rsidRPr="00C0532A">
        <w:rPr>
          <w:lang w:val="en-US" w:eastAsia="zh-CN"/>
        </w:rPr>
        <w:t xml:space="preserve">So we prefer to </w:t>
      </w:r>
      <w:r>
        <w:rPr>
          <w:lang w:val="en-US" w:eastAsia="zh-CN"/>
        </w:rPr>
        <w:t xml:space="preserve">only </w:t>
      </w:r>
      <w:r w:rsidRPr="00C0532A">
        <w:rPr>
          <w:lang w:val="en-US" w:eastAsia="zh-CN"/>
        </w:rPr>
        <w:t xml:space="preserve">consider TDD 120 kHz + TDD 120 kHz case for </w:t>
      </w:r>
      <w:r>
        <w:rPr>
          <w:lang w:val="en-US" w:eastAsia="zh-CN"/>
        </w:rPr>
        <w:t xml:space="preserve">FR2 </w:t>
      </w:r>
      <w:r w:rsidRPr="00C0532A">
        <w:rPr>
          <w:lang w:val="en-US" w:eastAsia="zh-CN"/>
        </w:rPr>
        <w:t>HST CA scenario.</w:t>
      </w:r>
      <w:r w:rsidR="00B732BD">
        <w:rPr>
          <w:lang w:val="en-US" w:eastAsia="zh-CN"/>
        </w:rPr>
        <w:t xml:space="preserve"> Considering that we have already define 200MHz case in Rel-17, the SNR for the corresponding case can be reused. S</w:t>
      </w:r>
      <w:r w:rsidR="00B732BD" w:rsidRPr="00B732BD">
        <w:rPr>
          <w:lang w:val="en-US" w:eastAsia="zh-CN"/>
        </w:rPr>
        <w:t>imulation</w:t>
      </w:r>
      <w:r w:rsidR="00B732BD">
        <w:rPr>
          <w:lang w:val="en-US" w:eastAsia="zh-CN"/>
        </w:rPr>
        <w:t xml:space="preserve"> is still needed for other bandwidths, i.e. 50MHz, 100MHz and 200MHz.</w:t>
      </w:r>
    </w:p>
    <w:p w14:paraId="44FE6CEB" w14:textId="62EEF0F6" w:rsidR="00B732BD" w:rsidRDefault="00B732BD" w:rsidP="00B732BD">
      <w:pPr>
        <w:pStyle w:val="Proposal"/>
      </w:pPr>
      <w:r>
        <w:t>O</w:t>
      </w:r>
      <w:r w:rsidRPr="00B732BD">
        <w:t>nly consider TDD 120 kHz + TDD 120 kHz case for FR2 HST CA scenario.</w:t>
      </w:r>
    </w:p>
    <w:p w14:paraId="2277A502" w14:textId="64AC5B36" w:rsidR="00EC1986" w:rsidRPr="00EC1986" w:rsidRDefault="00EC1986" w:rsidP="00B732BD">
      <w:pPr>
        <w:pStyle w:val="Proposal"/>
      </w:pPr>
      <w:r w:rsidRPr="00EC1986">
        <w:t xml:space="preserve">Reuse SNR for </w:t>
      </w:r>
      <w:r w:rsidR="00B732BD">
        <w:t xml:space="preserve">200MHz case from </w:t>
      </w:r>
      <w:r w:rsidR="00B732BD" w:rsidRPr="00B732BD">
        <w:t>Rel-17 FR2 HST single carrier</w:t>
      </w:r>
      <w:r w:rsidR="00B732BD">
        <w:t xml:space="preserve"> case, and</w:t>
      </w:r>
      <w:r w:rsidRPr="00EC1986">
        <w:t xml:space="preserve"> run simulation for other </w:t>
      </w:r>
      <w:r w:rsidR="00B732BD" w:rsidRPr="00B732BD">
        <w:t>bandwidths</w:t>
      </w:r>
      <w:r w:rsidR="008324E1">
        <w:t xml:space="preserve"> by using the same parameters as that for 200MHz</w:t>
      </w:r>
      <w:r w:rsidR="00E52F5A">
        <w:t xml:space="preserve"> case</w:t>
      </w:r>
      <w:r w:rsidR="00B732BD" w:rsidRPr="00B732BD">
        <w:t xml:space="preserve">, i.e. 50MHz, 100MHz and </w:t>
      </w:r>
      <w:r w:rsidR="001339FF">
        <w:t>4</w:t>
      </w:r>
      <w:r w:rsidR="00B732BD" w:rsidRPr="00B732BD">
        <w:t>00MHz</w:t>
      </w:r>
      <w:r w:rsidRPr="00EC1986">
        <w:t>.</w:t>
      </w:r>
    </w:p>
    <w:p w14:paraId="6A74F7B2" w14:textId="77777777" w:rsidR="00EC1986" w:rsidRPr="00EC1986" w:rsidRDefault="00EC1986" w:rsidP="00EC1986">
      <w:pPr>
        <w:rPr>
          <w:b/>
          <w:u w:val="single"/>
          <w:lang w:val="en-US" w:eastAsia="zh-CN"/>
        </w:rPr>
      </w:pPr>
      <w:r w:rsidRPr="00EC1986">
        <w:rPr>
          <w:b/>
          <w:u w:val="single"/>
          <w:lang w:val="en-US" w:eastAsia="zh-CN"/>
        </w:rPr>
        <w:t>HARQ &amp; applicability</w:t>
      </w:r>
    </w:p>
    <w:p w14:paraId="244F6339" w14:textId="50631F0A" w:rsidR="00EC1986" w:rsidRPr="00EC1986" w:rsidRDefault="00EC1986" w:rsidP="00EC1986">
      <w:pPr>
        <w:rPr>
          <w:lang w:val="en-US" w:eastAsia="zh-CN"/>
        </w:rPr>
      </w:pPr>
      <w:r w:rsidRPr="00EC1986">
        <w:rPr>
          <w:lang w:val="en-US" w:eastAsia="zh-CN"/>
        </w:rPr>
        <w:t>For others parameters such as number of HARQ process, K1 values for different CCs, applicability rule for different CA configurations and bandwidth combination sets, it is reasonable to reuse the value defined in NR Rel-16 normal CA.</w:t>
      </w:r>
    </w:p>
    <w:p w14:paraId="149E4957" w14:textId="6B3DEF42" w:rsidR="00EC1986" w:rsidRDefault="00EC1986" w:rsidP="000024EA">
      <w:pPr>
        <w:pStyle w:val="Proposal"/>
      </w:pPr>
      <w:r w:rsidRPr="00EC1986">
        <w:lastRenderedPageBreak/>
        <w:t>Others parameters such as number of HARQ process, K1 values for different CCs, applicability rule for different CA configurations and bandwidth combination sets can be reused from NR Rel-16 normal CA.</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3CFACA65"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C1986" w:rsidRPr="00EC1986">
        <w:rPr>
          <w:lang w:val="en-US" w:eastAsia="zh-CN"/>
        </w:rPr>
        <w:t>UE demodulation requirements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A9491B1" w14:textId="77777777" w:rsidR="000024EA" w:rsidRDefault="000024EA" w:rsidP="00D42E51">
      <w:pPr>
        <w:pStyle w:val="Proposal"/>
        <w:numPr>
          <w:ilvl w:val="0"/>
          <w:numId w:val="20"/>
        </w:numPr>
      </w:pPr>
      <w:r>
        <w:t>O</w:t>
      </w:r>
      <w:r w:rsidRPr="00B732BD">
        <w:t>nly consider TDD 120 kHz + TDD 120 kHz case for FR2 HST CA scenario.</w:t>
      </w:r>
    </w:p>
    <w:p w14:paraId="10A611DD" w14:textId="576A37CD" w:rsidR="000024EA" w:rsidRPr="00EC1986" w:rsidRDefault="000024EA" w:rsidP="000024EA">
      <w:pPr>
        <w:pStyle w:val="Proposal"/>
      </w:pPr>
      <w:r w:rsidRPr="00EC1986">
        <w:t xml:space="preserve">Reuse SNR for </w:t>
      </w:r>
      <w:r>
        <w:t xml:space="preserve">200MHz case from </w:t>
      </w:r>
      <w:r w:rsidRPr="00B732BD">
        <w:t>Rel-17 FR2 HST single carrier</w:t>
      </w:r>
      <w:r>
        <w:t xml:space="preserve"> case, and</w:t>
      </w:r>
      <w:r w:rsidRPr="00EC1986">
        <w:t xml:space="preserve"> </w:t>
      </w:r>
      <w:r w:rsidR="00E52F5A">
        <w:t>e, and</w:t>
      </w:r>
      <w:r w:rsidR="00E52F5A" w:rsidRPr="00EC1986">
        <w:t xml:space="preserve"> run simulation for other </w:t>
      </w:r>
      <w:r w:rsidR="00E52F5A" w:rsidRPr="00B732BD">
        <w:t>bandwidths</w:t>
      </w:r>
      <w:r w:rsidR="00E52F5A">
        <w:t xml:space="preserve"> by using the same parameters as that for 200MHz case</w:t>
      </w:r>
      <w:r w:rsidR="00E52F5A" w:rsidRPr="00B732BD">
        <w:t xml:space="preserve">, i.e. 50MHz, 100MHz and </w:t>
      </w:r>
      <w:r w:rsidR="00E52F5A">
        <w:t>4</w:t>
      </w:r>
      <w:r w:rsidR="00E52F5A" w:rsidRPr="00B732BD">
        <w:t>00MHz</w:t>
      </w:r>
      <w:bookmarkStart w:id="3" w:name="_GoBack"/>
      <w:bookmarkEnd w:id="3"/>
      <w:r w:rsidRPr="00EC1986">
        <w:t>.</w:t>
      </w:r>
    </w:p>
    <w:p w14:paraId="7C336977" w14:textId="4478EB84" w:rsidR="000024EA" w:rsidRPr="000024EA" w:rsidRDefault="000024EA" w:rsidP="008727FE">
      <w:pPr>
        <w:pStyle w:val="Proposal"/>
      </w:pPr>
      <w:r w:rsidRPr="00EC1986">
        <w:t>Others parameters such as number of HARQ process, K1 values for different CCs, applicability rule for different CA configurations and bandwidth combination sets can be reused from NR Rel-16 normal CA.</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1BB9184B" w:rsidR="00A64ABC" w:rsidRDefault="00535494" w:rsidP="00964D21">
      <w:pPr>
        <w:pStyle w:val="Reference"/>
        <w:ind w:left="400" w:hanging="400"/>
        <w:rPr>
          <w:lang w:val="en-US" w:eastAsia="zh-CN"/>
        </w:rPr>
      </w:pPr>
      <w:bookmarkStart w:id="4" w:name="_Ref126587496"/>
      <w:r w:rsidRPr="00535494">
        <w:rPr>
          <w:lang w:val="en-US" w:eastAsia="zh-CN"/>
        </w:rPr>
        <w:t>R</w:t>
      </w:r>
      <w:bookmarkStart w:id="5" w:name="_Hlk132059147"/>
      <w:r w:rsidRPr="00535494">
        <w:rPr>
          <w:lang w:val="en-US" w:eastAsia="zh-CN"/>
        </w:rPr>
        <w:t>P-</w:t>
      </w:r>
      <w:r w:rsidR="00046805" w:rsidRPr="00046805">
        <w:rPr>
          <w:lang w:val="en-US" w:eastAsia="zh-CN"/>
        </w:rPr>
        <w:t>222272</w:t>
      </w:r>
      <w:r w:rsidR="00DA5EE2" w:rsidRPr="00DA5EE2">
        <w:rPr>
          <w:lang w:val="en-US" w:eastAsia="zh-CN"/>
        </w:rPr>
        <w:t xml:space="preserve">, </w:t>
      </w:r>
      <w:r w:rsidR="00046805" w:rsidRPr="00046805">
        <w:rPr>
          <w:lang w:val="en-US" w:eastAsia="zh-CN"/>
        </w:rPr>
        <w:t>Revised WID on enhanced NR support for high speed train scenario in frequency range 2 (FR2)</w:t>
      </w:r>
      <w:r w:rsidR="00DA5EE2" w:rsidRPr="00DA5EE2">
        <w:rPr>
          <w:lang w:val="en-US" w:eastAsia="zh-CN"/>
        </w:rPr>
        <w:t>, RAN#</w:t>
      </w:r>
      <w:r>
        <w:rPr>
          <w:lang w:val="en-US" w:eastAsia="zh-CN"/>
        </w:rPr>
        <w:t>9</w:t>
      </w:r>
      <w:r w:rsidR="00046805">
        <w:rPr>
          <w:lang w:val="en-US" w:eastAsia="zh-CN"/>
        </w:rPr>
        <w:t>7</w:t>
      </w:r>
      <w:r w:rsidR="00DA5EE2" w:rsidRPr="00DA5EE2">
        <w:rPr>
          <w:lang w:val="en-US" w:eastAsia="zh-CN"/>
        </w:rPr>
        <w:t xml:space="preserve">, </w:t>
      </w:r>
      <w:bookmarkEnd w:id="4"/>
      <w:r w:rsidR="00046805" w:rsidRPr="00046805">
        <w:rPr>
          <w:lang w:val="en-US" w:eastAsia="zh-CN"/>
        </w:rPr>
        <w:t>Samsung</w:t>
      </w:r>
      <w:bookmarkEnd w:id="5"/>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C8A5E" w14:textId="77777777" w:rsidR="00685F6C" w:rsidRDefault="00685F6C" w:rsidP="009163A1">
      <w:pPr>
        <w:spacing w:after="0"/>
      </w:pPr>
      <w:r>
        <w:separator/>
      </w:r>
    </w:p>
  </w:endnote>
  <w:endnote w:type="continuationSeparator" w:id="0">
    <w:p w14:paraId="03662F1C" w14:textId="77777777" w:rsidR="00685F6C" w:rsidRDefault="00685F6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7004F" w14:textId="77777777" w:rsidR="00685F6C" w:rsidRDefault="00685F6C" w:rsidP="009163A1">
      <w:pPr>
        <w:spacing w:after="0"/>
      </w:pPr>
      <w:r>
        <w:separator/>
      </w:r>
    </w:p>
  </w:footnote>
  <w:footnote w:type="continuationSeparator" w:id="0">
    <w:p w14:paraId="57D57B21" w14:textId="77777777" w:rsidR="00685F6C" w:rsidRDefault="00685F6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20E2B"/>
    <w:multiLevelType w:val="hybridMultilevel"/>
    <w:tmpl w:val="59D6BE3A"/>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2"/>
  </w:num>
  <w:num w:numId="4">
    <w:abstractNumId w:val="4"/>
  </w:num>
  <w:num w:numId="5">
    <w:abstractNumId w:val="6"/>
  </w:num>
  <w:num w:numId="6">
    <w:abstractNumId w:val="9"/>
  </w:num>
  <w:num w:numId="7">
    <w:abstractNumId w:val="0"/>
  </w:num>
  <w:num w:numId="8">
    <w:abstractNumId w:val="2"/>
    <w:lvlOverride w:ilvl="0">
      <w:startOverride w:val="1"/>
    </w:lvlOverride>
  </w:num>
  <w:num w:numId="9">
    <w:abstractNumId w:val="4"/>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5"/>
  </w:num>
  <w:num w:numId="17">
    <w:abstractNumId w:val="3"/>
  </w:num>
  <w:num w:numId="18">
    <w:abstractNumId w:val="1"/>
  </w:num>
  <w:num w:numId="19">
    <w:abstractNumId w:val="2"/>
    <w:lvlOverride w:ilvl="0">
      <w:startOverride w:val="1"/>
    </w:lvlOverride>
  </w:num>
  <w:num w:numId="20">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4EA"/>
    <w:rsid w:val="00002753"/>
    <w:rsid w:val="00007237"/>
    <w:rsid w:val="0001581F"/>
    <w:rsid w:val="00016921"/>
    <w:rsid w:val="0002379D"/>
    <w:rsid w:val="0003042D"/>
    <w:rsid w:val="000306CB"/>
    <w:rsid w:val="00034F67"/>
    <w:rsid w:val="00040C05"/>
    <w:rsid w:val="000434C3"/>
    <w:rsid w:val="0004362D"/>
    <w:rsid w:val="00046805"/>
    <w:rsid w:val="00052512"/>
    <w:rsid w:val="000609E0"/>
    <w:rsid w:val="00065C4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39FF"/>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1300"/>
    <w:rsid w:val="003D308C"/>
    <w:rsid w:val="003E0499"/>
    <w:rsid w:val="003E4B32"/>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5F6C"/>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542"/>
    <w:rsid w:val="0082437D"/>
    <w:rsid w:val="00825BC9"/>
    <w:rsid w:val="00826757"/>
    <w:rsid w:val="008324E1"/>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0923"/>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32BD"/>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532A"/>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21F7"/>
    <w:rsid w:val="00D42E51"/>
    <w:rsid w:val="00D44284"/>
    <w:rsid w:val="00D44F00"/>
    <w:rsid w:val="00D46BD4"/>
    <w:rsid w:val="00D47209"/>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2F5A"/>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1986"/>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659FB-4F80-4967-AB30-012BB55B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2</TotalTime>
  <Pages>2</Pages>
  <Words>460</Words>
  <Characters>2622</Characters>
  <Application>Microsoft Office Word</Application>
  <DocSecurity>0</DocSecurity>
  <Lines>21</Lines>
  <Paragraphs>6</Paragraphs>
  <ScaleCrop>false</ScaleCrop>
  <Company>Huawei Technologies Co.,Ltd.</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2023-04-10T21:22:00Z</dcterms:created>
  <dcterms:modified xsi:type="dcterms:W3CDTF">2023-04-10T21:49:00Z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(3)AYnSQjyED2NW7zcprXEpaac9t8hD5J8zy3ldOXcA7qPNhmtKYr1LLdgeZ5nzmfYqpXmOz2Tf
eGw8LJAeY8/OFtriHZSKPCabH2RROVRzOhGsQT8fyheDjaEOJr3Var4hqfKMkxG4lJGBmH4s
mHw2iZBF6uEgh0daiYb9YHwC8fMGbNjC9IE2jZbrVIDWMQ3nnZ+fRP8UVnuQemq7kv8pRaMp
rPvxqm53/vD4HUn84T</vt:lpwstr>
  </property>
  <property fmtid="{D5CDD505-2E9C-101B-9397-08002B2CF9AE}" pid="3" name="_2015_ms_pID_7253431">
    <vt:lpwstr>MzgO0dFLpx6Qf9QWe1MX546eqko0AAjy/u/Noio4LxrAZonG0QYHgv
v3ECihYo1vgSWPZZecZczETZPMr1Yo39qXqI/E1FtHMAC7r0WU76GfB4koAym26JmOi/zQFL
p5OP8hIJh8Ic6dUHHBiX3tDyJrqPzCqrubkYQtnbMJB9cK0LfMRVSI2lQi0ej0FrSSNBABTB
sde2iKUDkurYp6Zffauaj8MHnINuhi1/DSh0</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1681121743</vt:lpwstr>
  </property>
</Properties>
</file>